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3C601" w14:textId="77777777" w:rsidR="009E4043" w:rsidRDefault="009E4043" w:rsidP="009E4043">
      <w:pPr>
        <w:rPr>
          <w:b/>
          <w:bCs/>
          <w:sz w:val="32"/>
          <w:szCs w:val="32"/>
        </w:rPr>
      </w:pPr>
      <w:r w:rsidRPr="009E4043">
        <w:rPr>
          <w:b/>
          <w:bCs/>
          <w:sz w:val="32"/>
          <w:szCs w:val="32"/>
        </w:rPr>
        <w:t>Управление операционными рисками</w:t>
      </w:r>
    </w:p>
    <w:p w14:paraId="6A670607" w14:textId="15DF8B48" w:rsidR="009E4043" w:rsidRPr="009E4043" w:rsidRDefault="009E4043" w:rsidP="009E4043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F0BD8" wp14:editId="60599645">
                <wp:simplePos x="0" y="0"/>
                <wp:positionH relativeFrom="column">
                  <wp:posOffset>44450</wp:posOffset>
                </wp:positionH>
                <wp:positionV relativeFrom="paragraph">
                  <wp:posOffset>5080</wp:posOffset>
                </wp:positionV>
                <wp:extent cx="5403850" cy="114300"/>
                <wp:effectExtent l="0" t="0" r="25400" b="19050"/>
                <wp:wrapNone/>
                <wp:docPr id="124378124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0" cy="114300"/>
                        </a:xfrm>
                        <a:prstGeom prst="rect">
                          <a:avLst/>
                        </a:prstGeom>
                        <a:solidFill>
                          <a:srgbClr val="0050C8"/>
                        </a:solidFill>
                        <a:ln>
                          <a:solidFill>
                            <a:srgbClr val="005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9D9C1" id="Прямоугольник 1" o:spid="_x0000_s1026" style="position:absolute;margin-left:3.5pt;margin-top:.4pt;width:425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" fillcolor="#0050c8" strokecolor="#0050c8" strokeweight="1pt"/>
            </w:pict>
          </mc:Fallback>
        </mc:AlternateContent>
      </w:r>
    </w:p>
    <w:p w14:paraId="755FE1C3" w14:textId="77777777" w:rsidR="009E4043" w:rsidRPr="009E4043" w:rsidRDefault="009E4043" w:rsidP="009E4043">
      <w:pPr>
        <w:spacing w:line="360" w:lineRule="auto"/>
        <w:jc w:val="both"/>
      </w:pPr>
      <w:r w:rsidRPr="009E4043">
        <w:t xml:space="preserve">ОАО «Банк </w:t>
      </w:r>
      <w:proofErr w:type="spellStart"/>
      <w:r w:rsidRPr="009E4043">
        <w:t>Эсхата</w:t>
      </w:r>
      <w:proofErr w:type="spellEnd"/>
      <w:r w:rsidRPr="009E4043">
        <w:t>» придает особое внимание эффективному управлению операционными рисками, учитывая оптимальное соотношение уровня риска и доходности. Банк выстраивает систему управления операционными рисками по принципам, соответствующим законодательству Республики Таджикистан, а также международным стандартам и лучшим практикам управления рисками. В Банке внедрены внутренние процедуры и модели оценки операционных рисков, что даёт возможность эффективно управлять операционными рисками, возникающими из внутренних и внешних факторов. В Банке реализовано управление операционными рисками на основе принципов трех независимых линий защиты, с учетом требования отсутствия конфликта интересов, что определяет и обеспечивает ответственность подразделений банка за риск.</w:t>
      </w:r>
    </w:p>
    <w:p w14:paraId="7A64E807" w14:textId="77777777" w:rsidR="009E4043" w:rsidRPr="009E4043" w:rsidRDefault="009E4043" w:rsidP="009E4043">
      <w:pPr>
        <w:spacing w:line="360" w:lineRule="auto"/>
        <w:jc w:val="both"/>
      </w:pPr>
      <w:r w:rsidRPr="009E4043">
        <w:t>Наблюдательный совет Банка несет основную ответственность за управление операционным риском, а также определяет политику в этом направлении, а Правление Банка обеспечивает эффективную их реализацию. Реализация принципов и процедур управления операционными рисками осуществляется Департаментом банковских рисков, который несет ответственность за функционирование системы управления операционными рисками, обеспечивает применение внутренних принципов и методов выявления, оценки, мониторинга и контроля рисков, а также проводит взвешенную оценку рисков, устанавливает лимиты на риски, проводит мониторинг уровня риска, реализует контрольные процедуры и своевременно отчитывается о состоянии операционных рисков руководству Банка.</w:t>
      </w:r>
    </w:p>
    <w:p w14:paraId="0C264DDB" w14:textId="77777777" w:rsidR="009E4043" w:rsidRPr="009E4043" w:rsidRDefault="009E4043" w:rsidP="009E4043">
      <w:pPr>
        <w:spacing w:line="360" w:lineRule="auto"/>
        <w:jc w:val="both"/>
      </w:pPr>
      <w:r w:rsidRPr="009E4043">
        <w:t>Банк безотлагательно предоставляет партнёрам, клиентам и другим заинтересованным лицам более подробную информацию о системе управления операционным риском по их запросу.</w:t>
      </w:r>
    </w:p>
    <w:p w14:paraId="5BC8E9EE" w14:textId="0D87A7DA" w:rsidR="005D7D22" w:rsidRDefault="005D7D22" w:rsidP="009E4043">
      <w:pPr>
        <w:jc w:val="both"/>
      </w:pPr>
    </w:p>
    <w:sectPr w:rsidR="005D7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22"/>
    <w:rsid w:val="005D7D22"/>
    <w:rsid w:val="009E4043"/>
    <w:rsid w:val="00B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8679"/>
  <w15:chartTrackingRefBased/>
  <w15:docId w15:val="{A9BF2A5C-983D-43DD-9C73-B83B5B22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7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D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D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D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7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7D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7D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7D2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7D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7D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7D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7D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7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7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7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7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7D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7D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7D2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7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7D2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D7D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Исматуллоев  Фуркатулло  Сайфуллоевич</dc:creator>
  <cp:keywords/>
  <dc:description/>
  <cp:lastModifiedBy>Исматуллоев  Фуркатулло  Сайфуллоевич</cp:lastModifiedBy>
  <cp:revision>2</cp:revision>
  <dcterms:created xsi:type="dcterms:W3CDTF">2024-09-04T06:32:00Z</dcterms:created>
  <dcterms:modified xsi:type="dcterms:W3CDTF">2024-09-04T06:33:00Z</dcterms:modified>
</cp:coreProperties>
</file>